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BK_B 012/04 vom 28. April 2004</w:t>
      </w:r>
    </w:p>
    <w:p>
      <w:r>
        <w:t>Bundesstrafgericht, 2004-04-28, IT</w:t>
      </w:r>
    </w:p>
    <w:p>
      <w:r>
        <w:rPr>
          <w:b/>
        </w:rPr>
        <w:t xml:space="preserve">Quelle: </w:t>
      </w:r>
      <w:r>
        <w:t>https://mcp.opencaselaw.ch/entscheid/bstger_BK_B 012_04</w:t>
      </w:r>
    </w:p>
    <w:p>
      <w:r>
        <w:t>FR: TPF BK_B 012/04 du 28 avril 2004</w:t>
      </w:r>
    </w:p>
    <w:p>
      <w:r>
        <w:t>IT: TPF BK_B 012/04 del 28 aprile 2004</w:t>
      </w:r>
    </w:p>
    <w:p>
      <w:pPr>
        <w:pStyle w:val="Heading2"/>
      </w:pPr>
      <w:r>
        <w:t>Regeste</w:t>
      </w:r>
    </w:p>
    <w:p>
      <w:r>
        <w:t>Decisione di non dar seguito alla denuncia (Art. 100 cpv. 3 PP)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seguito alla costituzione e all’entrata in vigore del Tribunale penale fede- rale, il 1° aprile 2004 la Corte dei reclami penali di questo tribunale ha ri- preso le cause pendenti presso la Camera d’accusa del Tribunale federale (v. art. 28 cpv. 1 lett. g e 33 cpv. 1 della Legge sul Tribunale penale federa- le del 4 ottobre 2002 - LTPF; RS 173.71).</w:t>
      </w:r>
    </w:p>
    <w:p>
      <w:r>
        <w:rPr>
          <w:b/>
        </w:rPr>
        <w:t>E. 2</w:t>
      </w:r>
    </w:p>
    <w:p>
      <w:r>
        <w:t>A sostegno della sua impugnativa, il reclamante invoca nuovamente l’argomento secondo cui l’errata indicazione della base legale per la nomi- na del procuratore federale nell’ordinanza del Consiglio federale dell’8 maggio 2002 (l’art. 16 cpv. 2 invece che l’art. 16 cpv. 3 PP) invaliderebbe i poteri d’indagine del nominato e qualsiasi sua decisione di merito. Ora, come già chiaramente esposto nelle precedenti decisioni della Came- ra d’accusa del Tribunale federale (v. sentenze 8G.54/2002 del 19 luglio 2002, consid. 8, e 8G.121/2002 del 30 dicembre 2002, consid. 2), tale tesi è speciosa e non ha alcun fondamento, trattandosi di un semplice errore di scrittura che non ha alcun effetto sui poteri di indagine del procuratore stra- ordinario. Il fatto che il denunciante la proponga anche in questa sede (pe- raltro come unico argomento in diritto del suo esposto), rasenta la temera- rietà. Per il resto, il gravame non espone altre motivazioni degne di essere prese in considerazione, se non le consuete e sterili lamentele nei confronti dell’operato delle autorità federali.</w:t>
      </w:r>
    </w:p>
    <w:p>
      <w:r>
        <w:rPr>
          <w:b/>
        </w:rPr>
        <w:t>E. 3</w:t>
      </w:r>
    </w:p>
    <w:p>
      <w:r>
        <w:t>Risulta peraltro che il denunciante non sostiene, né dimostra in alcun mo- do, di essere una vittima ai sensi dell’art. 2 della Legge federale concernen-</w:t>
      </w:r>
    </w:p>
    <w:p>
      <w:r>
        <w:t>- 4 - te l’aiuto alle vittime di reati del 4 ottobre 2001 (LAV; RS 312.5), per cui non sarebbe nemmeno abilitato a ricorrere contro la decisione di non dare se- guito alla denuncia giusta l’art. 100 cpv. 5 PP. Il suo reclamo si avvera per- tanto irricevibile. In ragione della sua temerarietà, si giustifica di porre a ca- rico del reclamante un’adeguata tassa di giustizia (art. 245 e 246 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